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80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66"/>
        <w:gridCol w:w="4380"/>
        <w:gridCol w:w="5121"/>
        <w:gridCol w:w="312"/>
      </w:tblGrid>
      <w:tr>
        <w:trPr>
          <w:trHeight w:val="450" w:hRule="atLeast"/>
        </w:trPr>
        <w:tc>
          <w:tcPr>
            <w:tcW w:w="10167" w:type="dxa"/>
            <w:gridSpan w:val="3"/>
            <w:vMerge w:val="restart"/>
            <w:tcBorders/>
            <w:shd w:color="0563C1" w:fill="2F5597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  <w:br/>
              <w:t>Characteristics of the submitted research/ artistic/other output</w:t>
            </w:r>
          </w:p>
        </w:tc>
        <w:tc>
          <w:tcPr>
            <w:tcW w:w="312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10167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  <w:tc>
          <w:tcPr>
            <w:tcW w:w="31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</w:r>
          </w:p>
        </w:tc>
      </w:tr>
      <w:tr>
        <w:trPr>
          <w:trHeight w:val="60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167" w:type="dxa"/>
            <w:gridSpan w:val="3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75" w:hRule="atLeast"/>
        </w:trPr>
        <w:tc>
          <w:tcPr>
            <w:tcW w:w="10167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  <w:tc>
          <w:tcPr>
            <w:tcW w:w="31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r>
          </w:p>
        </w:tc>
      </w:tr>
      <w:tr>
        <w:trPr>
          <w:trHeight w:val="90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4380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ID konania/ID of the procedure: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</w:p>
        </w:tc>
        <w:tc>
          <w:tcPr>
            <w:tcW w:w="5121" w:type="dxa"/>
            <w:tcBorders>
              <w:top w:val="single" w:sz="8" w:space="0" w:color="2F5597"/>
              <w:right w:val="single" w:sz="8" w:space="0" w:color="2F559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45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bookmarkStart w:id="0" w:name="RANGE!C9"/>
            <w:r>
              <w:rPr>
                <w:rFonts w:eastAsia="Times New Roman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1</w:t>
            </w:r>
            <w:bookmarkEnd w:id="0"/>
          </w:p>
        </w:tc>
        <w:tc>
          <w:tcPr>
            <w:tcW w:w="5121" w:type="dxa"/>
            <w:tcBorders>
              <w:bottom w:val="single" w:sz="8" w:space="0" w:color="2F5597"/>
              <w:right w:val="single" w:sz="8" w:space="0" w:color="2F5597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05" w:hRule="atLeast"/>
        </w:trPr>
        <w:tc>
          <w:tcPr>
            <w:tcW w:w="66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512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OCA1. Priezvisko hodnotenej osoby / Surname awarded to the assessed person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Hardy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15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OCA2. Meno hodnotenej osoby / Name awarded to the assessed person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Mária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59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OCA3. Tituly hodnotenej osoby / Degrees awarded to the assessed person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2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Doc. PhDr., PhD.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OCA4. Hyperlink na záznam osoby v Registri zamestnancov vysokých škôl / Hyperlink to the entry of the person in the Register of university staff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2">
              <w:r>
                <w:rPr>
                  <w:rStyle w:val="Internetovodkaz"/>
                  <w:rFonts w:eastAsia="Times New Roman"/>
                  <w:sz w:val="16"/>
                  <w:szCs w:val="16"/>
                  <w:lang w:eastAsia="sk-SK"/>
                </w:rPr>
                <w:t>https://www.portalvs.sk/regzam/detail/</w:t>
              </w:r>
            </w:hyperlink>
            <w:r>
              <w:rPr>
                <w:rStyle w:val="Internetovodkaz"/>
                <w:rFonts w:eastAsia="Times New Roman"/>
                <w:sz w:val="16"/>
                <w:szCs w:val="16"/>
                <w:lang w:eastAsia="sk-SK"/>
              </w:rPr>
              <w:t>12430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30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OCA5. Oblasť posudzovania / Area of assessment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4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Sociálna práca I. - II. stupeň/ Social work I. - II.degree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72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"Expl.OCA6!A1"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OCA6. Kategória výstupu tvorivej činnosti / Category of the research/ artistic/other output </w:t>
              <w:br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 možností (pozri Vysvetlivky k položke OCA6) / Choice from 6 options (see Explanations for OCA6). 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Calibri" w:cstheme="minorHAnsi"/>
                <w:bCs/>
                <w:sz w:val="16"/>
              </w:rPr>
            </w:pPr>
            <w:r>
              <w:rPr>
                <w:sz w:val="16"/>
                <w:szCs w:val="16"/>
                <w:lang w:val="en-GB"/>
              </w:rPr>
              <w:t xml:space="preserve">pedagogický výstup / pedagogical </w:t>
            </w:r>
            <w:r>
              <w:rPr>
                <w:rFonts w:cs="Calibri" w:cstheme="minorHAnsi"/>
                <w:bCs/>
                <w:sz w:val="16"/>
                <w:lang w:val="en-GB"/>
              </w:rPr>
              <w:t>output</w:t>
            </w:r>
          </w:p>
          <w:p>
            <w:pPr>
              <w:pStyle w:val="Normlny1"/>
              <w:widowControl w:val="fals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="Calibri" w:ascii="Calibri" w:hAnsi="Calibri"/>
                <w:sz w:val="16"/>
                <w:szCs w:val="16"/>
              </w:rPr>
            </w:r>
          </w:p>
          <w:p>
            <w:pPr>
              <w:pStyle w:val="Normlny1"/>
              <w:widowControl w:val="false"/>
              <w:rPr>
                <w:rFonts w:ascii="Calibri" w:hAnsi="Calibri" w:eastAsia="Times New Roman" w:cs="Calibri"/>
                <w:i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Calibri" w:ascii="Calibri" w:hAnsi="Calibri"/>
                <w:sz w:val="16"/>
                <w:szCs w:val="16"/>
              </w:rPr>
              <w:t xml:space="preserve">Mátel, Andrej, </w:t>
            </w:r>
            <w:r>
              <w:rPr>
                <w:rFonts w:cs="Calibri" w:ascii="Calibri" w:hAnsi="Calibri"/>
                <w:sz w:val="16"/>
                <w:szCs w:val="16"/>
              </w:rPr>
              <w:t xml:space="preserve">Hardy, Mária.  </w:t>
            </w:r>
            <w:r>
              <w:rPr>
                <w:rFonts w:cs="Calibri" w:ascii="Calibri" w:hAnsi="Calibri"/>
                <w:sz w:val="16"/>
                <w:szCs w:val="16"/>
              </w:rPr>
              <w:t>Vybrané kapitoly z metód sociálnej práce II. Bratislava: Vysoká škola zdravotníctva a sociálnej práce sv. Alžbety, n.o., 2013, 505 s. ISBN 978-80-8132-074-3.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51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201</w:t>
            </w: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3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66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OCA8. ID záznamu v CREPČ alebo CREUČ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i/>
                <w:iCs/>
                <w:sz w:val="16"/>
                <w:szCs w:val="16"/>
                <w:lang w:eastAsia="sk-SK"/>
              </w:rPr>
              <w:t>(ak je)</w:t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 / ID of the record in the Central Registry of Publication Activity (CRPA) or the Central Registry of Artistic Activity (CRAA) </w:t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5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494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OCA9. Hyperlink na záznam v CREPČ alebo CREUČ / Hyperlink to the record in CRPA or CRAA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6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065" w:hRule="atLeast"/>
        </w:trPr>
        <w:tc>
          <w:tcPr>
            <w:tcW w:w="66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FBE5D6" w:fill="DAE3F3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OCA10. Hyperlink na záznam v inom verejne prístupnom registri, katalógu výstupov tvorivých činností / Hyperlink to the record in another publicly accessible register, catalogue of research/ artistic/other outputs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7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60" w:hanging="16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https://arl4.library.sk/arl-sllk/sk/detail-sllk_un_cat-0121876-Vybrane-kapitoly-z-metod-socialnej-prace-II/?disprec=23&amp;iset=1&amp;pg=3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515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cs="Calibri"/>
                <w:sz w:val="16"/>
                <w:szCs w:val="16"/>
              </w:rPr>
              <w:t>A</w:t>
            </w:r>
            <w:r>
              <w:rPr>
                <w:rFonts w:cs="Calibri"/>
                <w:sz w:val="16"/>
                <w:szCs w:val="16"/>
              </w:rPr>
              <w:t>CB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Mátel, Andrej, </w:t>
            </w:r>
            <w:r>
              <w:rPr>
                <w:rFonts w:cs="Calibri"/>
                <w:sz w:val="16"/>
                <w:szCs w:val="16"/>
              </w:rPr>
              <w:t xml:space="preserve">Hardy, Mária.  </w:t>
            </w:r>
            <w:r>
              <w:rPr>
                <w:rFonts w:cs="Calibri"/>
                <w:sz w:val="16"/>
                <w:szCs w:val="16"/>
              </w:rPr>
              <w:t>Vybrané kapitoly z metód sociálnej práce II. Bratislava: Vysoká škola zdravotníctva a sociálnej práce sv. Alžbety, n.o., 2013, 505 s. ISBN 978-80-8132-074-3.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"Expl.OCA12!A1"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>OCA12. Typ výstupu (ak nie je výstup registrovaný v CREPČ alebo CREUČ) / Type of the output (if the output is not registered in CRPA or CRAA)</w:t>
              <w:br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Výber zo 67 možností (pozri Vysvetlivky k položke OCA12) / Choice from 67 options (see Explanations for OCA12). 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Poznmkapodiarou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Učebnica pre vysoké školy</w:t>
            </w:r>
            <w:r>
              <w:rPr>
                <w:sz w:val="16"/>
                <w:szCs w:val="16"/>
              </w:rPr>
              <w:t xml:space="preserve"> / </w:t>
            </w:r>
            <w:r>
              <w:rPr>
                <w:sz w:val="16"/>
                <w:szCs w:val="16"/>
              </w:rPr>
              <w:t>university textbook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i/>
                <w:i/>
                <w:iCs/>
                <w:color w:val="000000"/>
                <w:sz w:val="16"/>
                <w:szCs w:val="16"/>
                <w:lang w:val="en-GB" w:eastAsia="sk-SK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6"/>
                <w:szCs w:val="16"/>
                <w:lang w:val="en-GB"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10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t>https://www.researchgate.net/publication/357049070_Vybrane_kapitoly_z_metod_socialnej_prace_II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765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  <w:right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widowControl w:val="false"/>
              <w:shd w:val="clear" w:color="auto" w:fill="F8F9FA"/>
              <w:spacing w:lineRule="atLeast" w:line="360"/>
              <w:rPr>
                <w:rFonts w:ascii="Calibri" w:hAnsi="Calibri" w:asciiTheme="minorHAnsi" w:hAnsiTheme="minorHAnsi"/>
                <w:color w:val="202124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202124"/>
                <w:sz w:val="16"/>
                <w:szCs w:val="16"/>
                <w:shd w:fill="auto" w:val="clear"/>
              </w:rPr>
              <w:t>2</w:t>
            </w:r>
            <w:r>
              <w:rPr>
                <w:rFonts w:cs="Calibri" w:ascii="Calibri" w:hAnsi="Calibri"/>
                <w:color w:val="202124"/>
                <w:sz w:val="16"/>
                <w:szCs w:val="16"/>
                <w:shd w:fill="auto" w:val="clear"/>
              </w:rPr>
              <w:t>0 %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965" w:hRule="atLeast"/>
        </w:trPr>
        <w:tc>
          <w:tcPr>
            <w:tcW w:w="66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r>
          </w:p>
        </w:tc>
        <w:tc>
          <w:tcPr>
            <w:tcW w:w="4380" w:type="dxa"/>
            <w:tcBorders>
              <w:bottom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>8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Range up to 200 words in SlovakRozsah do 200 slov v anglickom jazyku / Range up to 200 words in English 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 w:themeColor="text1"/>
                <w:sz w:val="16"/>
                <w:szCs w:val="16"/>
                <w:lang w:eastAsia="sk-SK"/>
              </w:rPr>
              <w:t xml:space="preserve">Podiel autora je v 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lang w:eastAsia="sk-SK"/>
              </w:rPr>
              <w:t xml:space="preserve">spracovaní kapitoly 2 Metódy sociálnej práce s rodiny a pojmov: posudzovanie funkčnosti rodiny, metódy a techniky sociálnej práce s rodinou v kríze, intervenčné podporné programy, štandardy sociálnej práce s rodinou.  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shd w:fill="auto" w:val="clear"/>
                <w:lang w:eastAsia="sk-SK"/>
              </w:rPr>
              <w:t xml:space="preserve">/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 xml:space="preserve">The author's contribution is in the elaboration of Chapter 2 Methods of social work with the family and concepts: assessment of the functionality of the family, methods and techniques of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 xml:space="preserve">social work </w:t>
            </w:r>
            <w:r>
              <w:rPr>
                <w:rFonts w:cs="Calibri"/>
                <w:color w:val="000000" w:themeColor="text1"/>
                <w:sz w:val="16"/>
                <w:szCs w:val="16"/>
                <w:shd w:fill="auto" w:val="clear"/>
                <w:lang w:val="en-GB"/>
              </w:rPr>
              <w:t>with the family in crisis, intervention support programs, standards of social work with the family.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915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000000" w:fill="D9E1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sz w:val="16"/>
                <w:szCs w:val="16"/>
                <w:lang w:eastAsia="sk-SK"/>
              </w:rPr>
            </w:pPr>
            <w:r>
              <w:fldChar w:fldCharType="begin"/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instrText> HYPERLINK "file:///E:/%C5%A0ablony%20akredit%C3%A1cia/4_VTC.xlsx" \l "'poznamky_explanatory notes'!A1"</w:instrTex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separate"/>
            </w:r>
            <w:r>
              <w:rPr>
                <w:rFonts w:eastAsia="Times New Roman" w:cs="Calibri"/>
                <w:sz w:val="16"/>
                <w:szCs w:val="16"/>
                <w:lang w:eastAsia="sk-SK"/>
              </w:rPr>
              <w:t xml:space="preserve">OCA16. Anotácia výstupu v anglickom jazyku / Annotation of the output in English </w:t>
            </w:r>
            <w:r>
              <w:rPr>
                <w:sz w:val="16"/>
                <w:szCs w:val="16"/>
                <w:rFonts w:eastAsia="Times New Roman" w:cs="Calibri"/>
                <w:lang w:eastAsia="sk-SK"/>
              </w:rPr>
              <w:fldChar w:fldCharType="end"/>
            </w:r>
            <w:r>
              <w:rPr>
                <w:rFonts w:eastAsia="Times New Roman" w:cs="Calibri"/>
                <w:sz w:val="16"/>
                <w:szCs w:val="16"/>
                <w:vertAlign w:val="superscript"/>
                <w:lang w:eastAsia="sk-SK"/>
              </w:rPr>
              <w:t xml:space="preserve"> 9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The p</w:t>
            </w:r>
            <w:r>
              <w:rPr>
                <w:sz w:val="16"/>
                <w:szCs w:val="16"/>
                <w:lang w:val="en-GB"/>
              </w:rPr>
              <w:t>u</w:t>
            </w:r>
            <w:r>
              <w:rPr>
                <w:sz w:val="16"/>
                <w:szCs w:val="16"/>
                <w:lang w:val="en-GB"/>
              </w:rPr>
              <w:t>b</w:t>
            </w:r>
            <w:r>
              <w:rPr>
                <w:sz w:val="16"/>
                <w:szCs w:val="16"/>
                <w:lang w:val="en-GB"/>
              </w:rPr>
              <w:t xml:space="preserve">lication is primarily intended for master's students in social work and has the ambition to be a basic study material for the subjects of social work with the family (chapter 2), </w:t>
            </w:r>
            <w:r>
              <w:rPr>
                <w:sz w:val="16"/>
                <w:szCs w:val="16"/>
                <w:lang w:val="en-GB"/>
              </w:rPr>
              <w:t xml:space="preserve">Methods of </w:t>
            </w:r>
            <w:r>
              <w:rPr>
                <w:sz w:val="16"/>
                <w:szCs w:val="16"/>
                <w:lang w:val="en-GB"/>
              </w:rPr>
              <w:t xml:space="preserve">social work with group and community (chapters 3 and 4), </w:t>
            </w:r>
            <w:r>
              <w:rPr>
                <w:sz w:val="16"/>
                <w:szCs w:val="16"/>
                <w:lang w:val="en-GB"/>
              </w:rPr>
              <w:t>F</w:t>
            </w:r>
            <w:r>
              <w:rPr>
                <w:sz w:val="16"/>
                <w:szCs w:val="16"/>
                <w:lang w:val="en-GB"/>
              </w:rPr>
              <w:t>ield social work (chapter 5) and an auxiliary study text for the subjects of social work theory (chapter 1) and social work in health care (sub-chapter 6.2).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81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>
                <w:sz w:val="16"/>
                <w:szCs w:val="16"/>
              </w:rPr>
            </w:pPr>
            <w:r>
              <w:rPr>
                <w:rFonts w:eastAsia="SimSun" w:cs="Calibri" w:cstheme="minorHAns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shd w:fill="FFFFFF" w:val="clear"/>
                <w:em w:val="none"/>
                <w:lang w:eastAsia="sk-SK"/>
              </w:rPr>
              <w:t>Kovalcikova, N., Zakova, J. 2018. Social support as the role of social worker in work with  dialysed clients.  In: Berkis, U; Vilka, L. (Eds.) 6th INTERNATIONAL INTERDISCIPLINARY SCIENTIFIC CONFERENCE SOCIETY. HEALTH. WELFARE. SHS Web of Conferences, Volume: 40, Article Number: UNSP 03002</w:t>
            </w:r>
          </w:p>
          <w:p>
            <w:pPr>
              <w:pStyle w:val="Normal"/>
              <w:widowControl w:val="false"/>
              <w:spacing w:before="0" w:after="0"/>
              <w:rPr>
                <w:rFonts w:eastAsia="SimSun" w:cs="Calibri" w:cstheme="minorHAnsi"/>
                <w:color w:val="000000"/>
                <w:sz w:val="16"/>
                <w:szCs w:val="16"/>
                <w:shd w:fill="FFFFFF" w:val="clear"/>
                <w:lang w:eastAsia="sk-SK"/>
              </w:rPr>
            </w:pPr>
            <w:r>
              <w:rPr>
                <w:rFonts w:eastAsia="SimSun" w:cs="Calibri" w:cstheme="minorHAns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shd w:fill="FFFFFF" w:val="clear"/>
                <w:em w:val="none"/>
                <w:lang w:eastAsia="sk-SK"/>
              </w:rPr>
              <w:t>Kleskeň, l. 2016. Sociálna práca s obvinenými, odsúdenými a prepustenými. Bratislava: Iris. 110 s. ISBN 978-80-89726-56-1.</w:t>
            </w:r>
          </w:p>
          <w:p>
            <w:pPr>
              <w:pStyle w:val="Normal"/>
              <w:widowControl w:val="false"/>
              <w:spacing w:before="0" w:after="0"/>
              <w:rPr>
                <w:rFonts w:eastAsia="SimSun" w:cs="Calibri" w:cstheme="minorHAnsi"/>
                <w:color w:val="000000"/>
                <w:sz w:val="16"/>
                <w:szCs w:val="16"/>
                <w:shd w:fill="FFFFFF" w:val="clear"/>
                <w:lang w:eastAsia="sk-SK"/>
              </w:rPr>
            </w:pPr>
            <w:r>
              <w:rPr>
                <w:rFonts w:eastAsia="SimSun" w:cs="Calibri" w:cstheme="minorHAns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shd w:fill="FFFFFF" w:val="clear"/>
                <w:em w:val="none"/>
                <w:lang w:eastAsia="sk-SK"/>
              </w:rPr>
              <w:t>Barkasi, D., Vansáš, P., Bobovník, M. 2017. Význam komunitnej práce s občanmi ohrozenými sociálnym vylúčením v meste Michalovce. In Komunitná starostlivosť v pomáhajúcich profesiách. Warszawa: Wyższa Szkoła Finansów i Zarządzania w Warszawie, s. 25-29. ISBN 978-83-61087-41-0.</w:t>
            </w:r>
          </w:p>
          <w:p>
            <w:pPr>
              <w:pStyle w:val="Normal"/>
              <w:widowControl w:val="false"/>
              <w:spacing w:before="0" w:after="0"/>
              <w:rPr>
                <w:rFonts w:ascii="Calibri" w:hAnsi="Calibr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u w:val="none"/>
                <w:em w:val="none"/>
              </w:rPr>
            </w:pPr>
            <w:r>
              <w:rPr>
                <w:rFonts w:eastAsia="SimSun" w:cs="Calibri" w:cstheme="minorHAns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16"/>
                <w:szCs w:val="16"/>
                <w:u w:val="none"/>
                <w:shd w:fill="FFFFFF" w:val="clear"/>
                <w:em w:val="none"/>
                <w:lang w:eastAsia="sk-SK"/>
              </w:rPr>
              <w:t>GARDIANOVÁ, Vladimíra. Individuálny prístup k potrebám prijímateľov sociálnych služieb. In XIII. celoslovenská konferencia sestier pracujúcich v zariadeniach sociálnych služieb : zborník z XIII. celoslovenskej konferencie sestier pracujúcich v zariadeniach sociálnych služieb s medzinárodnou učasťo [elektronický zdroj]. - Bratislava : Slovenská komora sestier a pôrodných asistentiek, 2016. ISBN 978-80-89542-61-1, 1 CD-ROM, S. 73-79.</w:t>
            </w:r>
            <w:r>
              <w:rPr>
                <w:rFonts w:eastAsia="SimSun" w:cs="Calibri" w:cstheme="minorHAnsi"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6"/>
                <w:szCs w:val="16"/>
                <w:u w:val="none"/>
                <w:shd w:fill="FFFFFF" w:val="clear"/>
                <w:em w:val="none"/>
                <w:lang w:eastAsia="sk-SK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rPr>
                <w:rFonts w:ascii="Calibri" w:hAnsi="Calibri" w:eastAsia="SimSun" w:cs="Calibri" w:cstheme="minorHAnsi"/>
                <w:color w:val="212529"/>
                <w:sz w:val="16"/>
                <w:szCs w:val="16"/>
                <w:shd w:fill="FFFFFF" w:val="clear"/>
                <w:lang w:eastAsia="sk-SK"/>
              </w:rPr>
            </w:pPr>
            <w:r>
              <w:rPr>
                <w:rFonts w:eastAsia="SimSun" w:cs="Calibri" w:cstheme="minorHAnsi" w:ascii="Calibri" w:hAnsi="Calibri"/>
                <w:color w:val="212529"/>
                <w:sz w:val="16"/>
                <w:szCs w:val="16"/>
                <w:shd w:fill="FFFFFF" w:val="clear"/>
                <w:lang w:eastAsia="sk-SK"/>
              </w:rPr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sk-SK"/>
              </w:rPr>
            </w:r>
          </w:p>
        </w:tc>
      </w:tr>
      <w:tr>
        <w:trPr>
          <w:trHeight w:val="117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widowControl w:val="false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Výstup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y publikácie môžu byť použité pri zavedení štandardov poskytovania sociálnych služieb a poradenstva klientom sociálnej práce. Zároveň sa môžu implementovať do praxe sociálnej práce v treťom sektore./</w:t>
            </w:r>
          </w:p>
          <w:p>
            <w:pPr>
              <w:pStyle w:val="HTMLPreformatted"/>
              <w:widowControl w:val="false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T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he outputs of the publication can be used in the introduction of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 xml:space="preserve">social services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standards and counseling to clients of social work.</w:t>
            </w:r>
            <w:r>
              <w:rPr>
                <w:rFonts w:cs="Calibri" w:ascii="Calibri" w:hAnsi="Calibri"/>
                <w:caps w:val="false"/>
                <w:smallCaps w:val="false"/>
                <w:color w:val="000000"/>
                <w:spacing w:val="0"/>
                <w:sz w:val="16"/>
                <w:szCs w:val="16"/>
                <w:shd w:fill="auto" w:val="clear"/>
              </w:rPr>
              <w:t xml:space="preserve"> </w:t>
            </w:r>
            <w:r>
              <w:rPr>
                <w:rFonts w:cs="Calibri" w:ascii="Calibri" w:hAnsi="Calibri"/>
                <w:color w:val="000000"/>
                <w:sz w:val="16"/>
                <w:szCs w:val="16"/>
                <w:shd w:fill="auto" w:val="clear"/>
              </w:rPr>
              <w:t>At the same time, they can be implemented in the practice of social work in the third sector.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k-SK"/>
              </w:rPr>
            </w:r>
          </w:p>
        </w:tc>
      </w:tr>
      <w:tr>
        <w:trPr>
          <w:trHeight w:val="1290" w:hRule="atLeast"/>
        </w:trPr>
        <w:tc>
          <w:tcPr>
            <w:tcW w:w="5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FBE5D6" w:fill="DAE3F3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  <w:br/>
              <w:t>Rozsah do 200 slov v anglickom jazyku / Range up to 200 words in English</w:t>
            </w:r>
          </w:p>
        </w:tc>
        <w:tc>
          <w:tcPr>
            <w:tcW w:w="51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HTMLPreformatted"/>
              <w:widowControl w:val="false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cs="Calibri" w:ascii="Calibri" w:hAnsi="Calibri"/>
                <w:color w:val="000000"/>
                <w:sz w:val="16"/>
                <w:szCs w:val="16"/>
              </w:rPr>
            </w:r>
          </w:p>
          <w:p>
            <w:pPr>
              <w:pStyle w:val="Normal"/>
              <w:widowControl w:val="false"/>
              <w:shd w:val="clear" w:color="auto" w:fill="F8F9FA"/>
              <w:spacing w:lineRule="auto" w:line="240" w:before="0" w:after="0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 w:themeColor="text1"/>
                <w:sz w:val="16"/>
                <w:szCs w:val="16"/>
                <w:shd w:fill="auto" w:val="clear"/>
                <w:lang w:eastAsia="sk-SK"/>
              </w:rPr>
              <w:t>Pu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shd w:fill="auto" w:val="clear"/>
                <w:lang w:eastAsia="sk-SK"/>
              </w:rPr>
              <w:t>b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shd w:fill="auto" w:val="clear"/>
                <w:lang w:eastAsia="sk-SK"/>
              </w:rPr>
              <w:t xml:space="preserve">likácia </w:t>
            </w:r>
            <w:r>
              <w:rPr>
                <w:rFonts w:eastAsia="Times New Roman" w:cs="Calibri"/>
                <w:color w:val="000000" w:themeColor="text1"/>
                <w:sz w:val="16"/>
                <w:szCs w:val="16"/>
                <w:shd w:fill="auto" w:val="clear"/>
                <w:lang w:eastAsia="sk-SK"/>
              </w:rPr>
              <w:t>sa dlhodobo používa ako učebný text pre študentov m</w:t>
            </w:r>
            <w:r>
              <w:rPr>
                <w:rFonts w:cs="Calibri" w:ascii="Calibri" w:hAnsi="Calibri"/>
                <w:b w:val="false"/>
                <w:i w:val="false"/>
                <w:caps w:val="false"/>
                <w:smallCaps w:val="false"/>
                <w:color w:val="000000" w:themeColor="text1"/>
                <w:spacing w:val="0"/>
                <w:sz w:val="16"/>
                <w:szCs w:val="16"/>
                <w:shd w:fill="auto" w:val="clear"/>
              </w:rPr>
              <w:t xml:space="preserve">agisterského štúdia sociálnej práce.  </w:t>
            </w:r>
            <w:r>
              <w:rPr>
                <w:rFonts w:cs="Calibri"/>
                <w:color w:val="000000"/>
                <w:sz w:val="16"/>
                <w:szCs w:val="16"/>
                <w:shd w:fill="auto" w:val="clear"/>
              </w:rPr>
              <w:t xml:space="preserve">Obsah  výstupu môže byť aplikovaný v predmetoch: </w:t>
            </w:r>
            <w:r>
              <w:rPr>
                <w:rFonts w:cs="Calibri"/>
                <w:color w:val="000000"/>
                <w:sz w:val="16"/>
                <w:szCs w:val="16"/>
                <w:shd w:fill="auto" w:val="clear"/>
              </w:rPr>
              <w:t xml:space="preserve">Metódy sociálnej práce so skupinou a komunitou, </w:t>
            </w:r>
            <w:r>
              <w:rPr>
                <w:rFonts w:cs="Calibri"/>
                <w:color w:val="000000"/>
                <w:sz w:val="16"/>
                <w:szCs w:val="16"/>
                <w:shd w:fill="auto" w:val="clear"/>
              </w:rPr>
              <w:t xml:space="preserve">Sociálna práca s rodinou, </w:t>
            </w:r>
            <w:r>
              <w:rPr>
                <w:rFonts w:cs="Calibri"/>
                <w:color w:val="000000"/>
                <w:sz w:val="16"/>
                <w:szCs w:val="16"/>
                <w:shd w:fill="auto" w:val="clear"/>
              </w:rPr>
              <w:t xml:space="preserve">Terénna sociálna práca </w:t>
            </w:r>
            <w:r>
              <w:rPr>
                <w:rFonts w:cs="Calibri"/>
                <w:color w:val="000000"/>
                <w:sz w:val="16"/>
                <w:szCs w:val="16"/>
                <w:shd w:fill="auto" w:val="clear"/>
              </w:rPr>
              <w:t xml:space="preserve"> / </w:t>
            </w:r>
            <w:r>
              <w:rPr>
                <w:sz w:val="16"/>
                <w:szCs w:val="16"/>
                <w:shd w:fill="auto" w:val="clear"/>
              </w:rPr>
              <w:t>The publication has long been used as a teaching text for master's degree students in social work.</w:t>
            </w:r>
            <w:r>
              <w:rPr>
                <w:caps w:val="false"/>
                <w:smallCaps w:val="false"/>
                <w:color w:val="000000"/>
                <w:spacing w:val="0"/>
                <w:sz w:val="16"/>
                <w:szCs w:val="16"/>
                <w:shd w:fill="auto" w:val="clear"/>
              </w:rPr>
              <w:t xml:space="preserve"> </w:t>
            </w:r>
            <w:r>
              <w:rPr>
                <w:sz w:val="16"/>
                <w:szCs w:val="16"/>
                <w:shd w:fill="auto" w:val="clear"/>
              </w:rPr>
              <w:t>The content of the output can be applied in the subjects: Methods of social work with the group and community, Social work with the family, Field social work</w:t>
            </w:r>
            <w:r>
              <w:rPr>
                <w:rFonts w:cs="Calibri"/>
                <w:color w:val="000000"/>
                <w:sz w:val="16"/>
                <w:szCs w:val="16"/>
                <w:shd w:fill="auto" w:val="clear"/>
                <w:lang w:val="en-GB"/>
              </w:rPr>
              <w:t xml:space="preserve"> </w:t>
            </w:r>
          </w:p>
        </w:tc>
        <w:tc>
          <w:tcPr>
            <w:tcW w:w="31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shd w:fill="auto" w:val="clear"/>
                <w:lang w:eastAsia="sk-SK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shd w:fill="auto" w:val="clear"/>
                <w:lang w:eastAsia="sk-SK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imSu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49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sk-SK" w:eastAsia="sk-SK" w:bidi="sa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Mangal" w:asciiTheme="minorHAnsi" w:cstheme="minorBidi" w:eastAsiaTheme="minorHAnsi" w:hAnsiTheme="minorHAnsi"/>
      <w:color w:val="auto"/>
      <w:kern w:val="0"/>
      <w:sz w:val="22"/>
      <w:szCs w:val="22"/>
      <w:lang w:val="sk-SK" w:eastAsia="en-US" w:bidi="ar-SA"/>
    </w:rPr>
  </w:style>
  <w:style w:type="paragraph" w:styleId="Nadpis1">
    <w:name w:val="Heading 1"/>
    <w:next w:val="Normal"/>
    <w:uiPriority w:val="9"/>
    <w:qFormat/>
    <w:pPr>
      <w:widowControl/>
      <w:suppressAutoHyphens w:val="true"/>
      <w:bidi w:val="0"/>
      <w:spacing w:beforeAutospacing="1" w:afterAutospacing="1"/>
      <w:jc w:val="left"/>
      <w:outlineLvl w:val="0"/>
    </w:pPr>
    <w:rPr>
      <w:rFonts w:ascii="SimSun" w:hAnsi="SimSun" w:eastAsia="SimSun" w:cs="Mangal"/>
      <w:b/>
      <w:bCs/>
      <w:color w:val="auto"/>
      <w:kern w:val="2"/>
      <w:sz w:val="48"/>
      <w:szCs w:val="48"/>
      <w:lang w:val="en-US" w:eastAsia="zh-CN" w:bidi="sa-IN"/>
    </w:rPr>
  </w:style>
  <w:style w:type="paragraph" w:styleId="Nadpis2">
    <w:name w:val="Heading 2"/>
    <w:basedOn w:val="Normal"/>
    <w:next w:val="Normal"/>
    <w:link w:val="Nadpis2Char"/>
    <w:uiPriority w:val="9"/>
    <w:semiHidden/>
    <w:unhideWhenUsed/>
    <w:qFormat/>
    <w:rsid w:val="00157275"/>
    <w:pPr>
      <w:keepNext w:val="true"/>
      <w:keepLines/>
      <w:spacing w:before="40" w:after="0"/>
      <w:outlineLvl w:val="1"/>
    </w:pPr>
    <w:rPr>
      <w:rFonts w:ascii="Calibri Light" w:hAnsi="Calibri Light" w:eastAsia="等线 Light" w:cs="Mangal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qFormat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2a42b8"/>
    <w:rPr>
      <w:color w:val="605E5C"/>
      <w:shd w:fill="E1DFDD" w:val="clear"/>
    </w:rPr>
  </w:style>
  <w:style w:type="character" w:styleId="Nadpis2Char" w:customStyle="1">
    <w:name w:val="Nadpis 2 Char"/>
    <w:basedOn w:val="DefaultParagraphFont"/>
    <w:link w:val="Nadpis2"/>
    <w:uiPriority w:val="9"/>
    <w:semiHidden/>
    <w:qFormat/>
    <w:rsid w:val="00157275"/>
    <w:rPr>
      <w:rFonts w:ascii="Calibri Light" w:hAnsi="Calibri Light" w:eastAsia="等线 Light" w:cs="Mangal" w:asciiTheme="majorHAnsi" w:cstheme="majorBidi" w:eastAsiaTheme="majorEastAsia" w:hAnsiTheme="majorHAnsi"/>
      <w:color w:val="2F5496" w:themeColor="accent1" w:themeShade="bf"/>
      <w:sz w:val="26"/>
      <w:szCs w:val="26"/>
      <w:lang w:eastAsia="en-US" w:bidi="ar-SA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Arial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Poznmkapodiarou">
    <w:name w:val="Footnote Text"/>
    <w:basedOn w:val="Normal"/>
    <w:uiPriority w:val="99"/>
    <w:unhideWhenUsed/>
    <w:qFormat/>
    <w:pPr>
      <w:spacing w:lineRule="auto" w:line="240" w:before="0" w:after="0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clear" w:pos="49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sk-SK"/>
    </w:rPr>
  </w:style>
  <w:style w:type="paragraph" w:styleId="NormalWeb">
    <w:name w:val="Normal (Web)"/>
    <w:basedOn w:val="Normal"/>
    <w:uiPriority w:val="99"/>
    <w:semiHidden/>
    <w:unhideWhenUsed/>
    <w:qFormat/>
    <w:pPr/>
    <w:rPr>
      <w:sz w:val="24"/>
      <w:szCs w:val="24"/>
    </w:rPr>
  </w:style>
  <w:style w:type="paragraph" w:styleId="Normlny1" w:customStyle="1">
    <w:name w:val="Normálny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sk-SK" w:eastAsia="sk-SK" w:bidi="ar-SA"/>
    </w:rPr>
  </w:style>
  <w:style w:type="paragraph" w:styleId="Western" w:customStyle="1">
    <w:name w:val="wester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0"/>
      <w:sz w:val="24"/>
      <w:szCs w:val="24"/>
      <w:lang w:val="en-US" w:eastAsia="zh-CN" w:bidi="sa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3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Normlnatabuka1">
    <w:name w:val="Normálna tabuľka1"/>
    <w:semiHidden/>
    <w:qFormat/>
    <w:pPr>
      <w:spacing w:after="160" w:line="256" w:lineRule="auto"/>
    </w:pPr>
    <w:rPr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portalvs.sk/regzam/detail/12319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LibreOffice/7.0.4.2$Windows_X86_64 LibreOffice_project/dcf040e67528d9187c66b2379df5ea4407429775</Application>
  <AppVersion>15.0000</AppVersion>
  <Pages>2</Pages>
  <Words>1174</Words>
  <Characters>6792</Characters>
  <CharactersWithSpaces>8073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2022-08-17T05:04:00Z</dcterms:created>
  <dc:creator>Jakub Králik</dc:creator>
  <dc:description/>
  <dc:language>sk-SK</dc:language>
  <cp:lastModifiedBy/>
  <dcterms:modified xsi:type="dcterms:W3CDTF">2022-08-25T12:50:19Z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A37B1A9D7EC149AA9272174AAA4FC1B6</vt:lpwstr>
  </property>
  <property fmtid="{D5CDD505-2E9C-101B-9397-08002B2CF9AE}" pid="3" name="KSOProductBuildVer">
    <vt:lpwstr>1033-11.2.0.10308</vt:lpwstr>
  </property>
</Properties>
</file>